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B9" w:rsidRPr="003440FD" w:rsidRDefault="000C36B9" w:rsidP="000C36B9">
      <w:pPr>
        <w:jc w:val="center"/>
        <w:rPr>
          <w:rFonts w:ascii="AR CENA" w:hAnsi="AR CENA" w:cs="Calibri"/>
          <w:sz w:val="28"/>
          <w:szCs w:val="28"/>
        </w:rPr>
      </w:pPr>
      <w:r w:rsidRPr="003440FD">
        <w:rPr>
          <w:rFonts w:ascii="AR CENA" w:hAnsi="AR CENA" w:cs="Calibri"/>
          <w:sz w:val="96"/>
          <w:szCs w:val="96"/>
        </w:rPr>
        <w:t>Objectives of Inclusion</w:t>
      </w:r>
    </w:p>
    <w:p w:rsidR="000C36B9" w:rsidRPr="003440FD" w:rsidRDefault="000C36B9" w:rsidP="000C36B9">
      <w:pPr>
        <w:jc w:val="both"/>
        <w:rPr>
          <w:rFonts w:ascii="AR CENA" w:hAnsi="AR CENA" w:cs="Calibri"/>
          <w:sz w:val="28"/>
          <w:szCs w:val="28"/>
        </w:rPr>
      </w:pPr>
    </w:p>
    <w:p w:rsidR="000C36B9" w:rsidRPr="003440FD" w:rsidRDefault="000C36B9" w:rsidP="000C36B9">
      <w:pPr>
        <w:jc w:val="both"/>
        <w:rPr>
          <w:rFonts w:ascii="Calibri" w:hAnsi="Calibri" w:cs="Calibri"/>
          <w:sz w:val="28"/>
          <w:szCs w:val="28"/>
        </w:rPr>
      </w:pPr>
      <w:r w:rsidRPr="003440FD">
        <w:rPr>
          <w:rFonts w:ascii="Calibri" w:hAnsi="Calibri" w:cs="Calibri"/>
          <w:sz w:val="28"/>
          <w:szCs w:val="28"/>
        </w:rPr>
        <w:t>The student will:</w:t>
      </w:r>
      <w:r w:rsidRPr="00083900">
        <w:rPr>
          <w:rStyle w:val="Normal"/>
          <w:snapToGrid w:val="0"/>
          <w:color w:val="000000"/>
          <w:w w:val="0"/>
          <w:sz w:val="0"/>
          <w:szCs w:val="0"/>
          <w:u w:color="000000"/>
          <w:bdr w:val="none" w:sz="0" w:space="0" w:color="000000"/>
          <w:shd w:val="clear" w:color="000000" w:fill="000000"/>
          <w:lang w:val="x-none" w:eastAsia="x-none" w:bidi="x-none"/>
        </w:rPr>
        <w:t xml:space="preserve"> </w:t>
      </w:r>
    </w:p>
    <w:p w:rsidR="000C36B9" w:rsidRPr="003440FD" w:rsidRDefault="000C36B9" w:rsidP="000C36B9">
      <w:pPr>
        <w:jc w:val="both"/>
        <w:rPr>
          <w:rFonts w:ascii="Calibri" w:hAnsi="Calibri" w:cs="Calibri"/>
          <w:sz w:val="28"/>
          <w:szCs w:val="28"/>
        </w:rPr>
      </w:pPr>
    </w:p>
    <w:p w:rsidR="000C36B9" w:rsidRPr="003440FD" w:rsidRDefault="000C36B9" w:rsidP="000C36B9">
      <w:pPr>
        <w:numPr>
          <w:ilvl w:val="0"/>
          <w:numId w:val="1"/>
        </w:numPr>
        <w:jc w:val="both"/>
        <w:rPr>
          <w:rFonts w:ascii="Calibri" w:hAnsi="Calibri" w:cs="Calibri"/>
          <w:sz w:val="28"/>
          <w:szCs w:val="28"/>
        </w:rPr>
      </w:pPr>
      <w:r>
        <w:rPr>
          <w:noProof/>
          <w:lang w:eastAsia="en-GB"/>
        </w:rPr>
        <w:drawing>
          <wp:anchor distT="0" distB="0" distL="114300" distR="114300" simplePos="0" relativeHeight="251659264" behindDoc="1" locked="0" layoutInCell="1" allowOverlap="1">
            <wp:simplePos x="0" y="0"/>
            <wp:positionH relativeFrom="column">
              <wp:posOffset>2541270</wp:posOffset>
            </wp:positionH>
            <wp:positionV relativeFrom="paragraph">
              <wp:posOffset>68580</wp:posOffset>
            </wp:positionV>
            <wp:extent cx="2954655" cy="1438275"/>
            <wp:effectExtent l="0" t="0" r="0" b="9525"/>
            <wp:wrapTight wrapText="bothSides">
              <wp:wrapPolygon edited="0">
                <wp:start x="0" y="0"/>
                <wp:lineTo x="0" y="21457"/>
                <wp:lineTo x="21447" y="21457"/>
                <wp:lineTo x="21447" y="0"/>
                <wp:lineTo x="0" y="0"/>
              </wp:wrapPolygon>
            </wp:wrapTight>
            <wp:docPr id="6" name="Picture 6" descr="IMG_7083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083 cr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465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0FD">
        <w:rPr>
          <w:rFonts w:ascii="Calibri" w:hAnsi="Calibri" w:cs="Calibri"/>
          <w:sz w:val="28"/>
          <w:szCs w:val="28"/>
        </w:rPr>
        <w:t>Gain new skills.</w:t>
      </w:r>
    </w:p>
    <w:p w:rsidR="000C36B9" w:rsidRPr="003440FD" w:rsidRDefault="000C36B9" w:rsidP="000C36B9">
      <w:pPr>
        <w:numPr>
          <w:ilvl w:val="0"/>
          <w:numId w:val="1"/>
        </w:numPr>
        <w:jc w:val="both"/>
        <w:rPr>
          <w:rFonts w:ascii="Calibri" w:hAnsi="Calibri" w:cs="Calibri"/>
          <w:sz w:val="28"/>
          <w:szCs w:val="28"/>
        </w:rPr>
      </w:pPr>
      <w:r w:rsidRPr="003440FD">
        <w:rPr>
          <w:rFonts w:ascii="Calibri" w:hAnsi="Calibri" w:cs="Calibri"/>
          <w:sz w:val="28"/>
          <w:szCs w:val="28"/>
        </w:rPr>
        <w:t>Develop age appropriate behaviour.</w:t>
      </w:r>
    </w:p>
    <w:p w:rsidR="000C36B9" w:rsidRPr="003440FD" w:rsidRDefault="000C36B9" w:rsidP="000C36B9">
      <w:pPr>
        <w:numPr>
          <w:ilvl w:val="0"/>
          <w:numId w:val="1"/>
        </w:numPr>
        <w:jc w:val="both"/>
        <w:rPr>
          <w:rFonts w:ascii="Calibri" w:hAnsi="Calibri" w:cs="Calibri"/>
          <w:sz w:val="28"/>
          <w:szCs w:val="28"/>
        </w:rPr>
      </w:pPr>
      <w:r w:rsidRPr="003440FD">
        <w:rPr>
          <w:rFonts w:ascii="Calibri" w:hAnsi="Calibri" w:cs="Calibri"/>
          <w:sz w:val="28"/>
          <w:szCs w:val="28"/>
        </w:rPr>
        <w:t>Develop independent learning behaviour.</w:t>
      </w:r>
    </w:p>
    <w:p w:rsidR="000C36B9" w:rsidRPr="003440FD" w:rsidRDefault="000C36B9" w:rsidP="000C36B9">
      <w:pPr>
        <w:numPr>
          <w:ilvl w:val="0"/>
          <w:numId w:val="1"/>
        </w:numPr>
        <w:jc w:val="both"/>
        <w:rPr>
          <w:rFonts w:ascii="Calibri" w:hAnsi="Calibri" w:cs="Calibri"/>
          <w:sz w:val="28"/>
          <w:szCs w:val="28"/>
        </w:rPr>
      </w:pPr>
      <w:r w:rsidRPr="003440FD">
        <w:rPr>
          <w:rFonts w:ascii="Calibri" w:hAnsi="Calibri" w:cs="Calibri"/>
          <w:sz w:val="28"/>
          <w:szCs w:val="28"/>
        </w:rPr>
        <w:t>Develop friendships in the community.</w:t>
      </w:r>
    </w:p>
    <w:p w:rsidR="000C36B9" w:rsidRPr="003440FD" w:rsidRDefault="000C36B9" w:rsidP="000C36B9">
      <w:pPr>
        <w:jc w:val="both"/>
        <w:rPr>
          <w:rFonts w:ascii="Calibri" w:hAnsi="Calibri" w:cs="Calibri"/>
          <w:sz w:val="28"/>
          <w:szCs w:val="28"/>
        </w:rPr>
      </w:pPr>
    </w:p>
    <w:p w:rsidR="000C36B9" w:rsidRDefault="000C36B9" w:rsidP="000C36B9">
      <w:pPr>
        <w:jc w:val="both"/>
        <w:rPr>
          <w:rFonts w:ascii="Calibri" w:hAnsi="Calibri" w:cs="Calibri"/>
          <w:sz w:val="28"/>
          <w:szCs w:val="28"/>
        </w:rPr>
      </w:pPr>
    </w:p>
    <w:p w:rsidR="000C36B9" w:rsidRPr="000E20E1" w:rsidRDefault="000C36B9" w:rsidP="000C36B9">
      <w:pPr>
        <w:jc w:val="both"/>
        <w:rPr>
          <w:rFonts w:ascii="Calibri" w:hAnsi="Calibri" w:cs="Calibri"/>
          <w:b/>
          <w:sz w:val="28"/>
          <w:szCs w:val="28"/>
        </w:rPr>
      </w:pPr>
      <w:r>
        <w:rPr>
          <w:rFonts w:ascii="Calibri" w:hAnsi="Calibri" w:cs="Calibri"/>
          <w:sz w:val="28"/>
          <w:szCs w:val="28"/>
        </w:rPr>
        <w:t xml:space="preserve">Some secondary school teachers ask the question: </w:t>
      </w:r>
      <w:r>
        <w:rPr>
          <w:rFonts w:ascii="Calibri" w:hAnsi="Calibri" w:cs="Calibri"/>
          <w:b/>
          <w:sz w:val="28"/>
          <w:szCs w:val="28"/>
        </w:rPr>
        <w:t>Why is this student coming here, rather than to the special school, where their needs will surely be better catered for?</w:t>
      </w:r>
    </w:p>
    <w:p w:rsidR="000C36B9" w:rsidRDefault="000C36B9" w:rsidP="000C36B9">
      <w:pPr>
        <w:jc w:val="both"/>
        <w:rPr>
          <w:rFonts w:ascii="Calibri" w:hAnsi="Calibri" w:cs="Calibri"/>
          <w:sz w:val="28"/>
          <w:szCs w:val="28"/>
        </w:rPr>
      </w:pPr>
    </w:p>
    <w:p w:rsidR="000C36B9" w:rsidRDefault="000C36B9" w:rsidP="000C36B9">
      <w:pPr>
        <w:jc w:val="both"/>
        <w:rPr>
          <w:rFonts w:ascii="Calibri" w:hAnsi="Calibri"/>
          <w:sz w:val="28"/>
          <w:szCs w:val="28"/>
        </w:rPr>
      </w:pPr>
      <w:r>
        <w:rPr>
          <w:rFonts w:ascii="Calibri" w:hAnsi="Calibri"/>
          <w:i/>
          <w:sz w:val="28"/>
          <w:szCs w:val="28"/>
        </w:rPr>
        <w:t>“</w:t>
      </w:r>
      <w:r w:rsidRPr="004F05A3">
        <w:rPr>
          <w:rFonts w:ascii="Calibri" w:hAnsi="Calibri"/>
          <w:i/>
          <w:sz w:val="28"/>
          <w:szCs w:val="28"/>
        </w:rPr>
        <w:t>It is easier to adapt the curriculum to meet the needs of students with Down syndrome and their specific learning profile in a mainstream school rather than in special provision.</w:t>
      </w:r>
      <w:r>
        <w:rPr>
          <w:rFonts w:ascii="Calibri" w:hAnsi="Calibri"/>
          <w:i/>
          <w:sz w:val="28"/>
          <w:szCs w:val="28"/>
        </w:rPr>
        <w:t xml:space="preserve">” </w:t>
      </w:r>
      <w:r>
        <w:rPr>
          <w:rFonts w:ascii="Calibri" w:hAnsi="Calibri"/>
          <w:sz w:val="28"/>
          <w:szCs w:val="28"/>
        </w:rPr>
        <w:t xml:space="preserve">(Prof Sue Buckley, </w:t>
      </w:r>
      <w:proofErr w:type="spellStart"/>
      <w:r>
        <w:rPr>
          <w:rFonts w:ascii="Calibri" w:hAnsi="Calibri"/>
          <w:sz w:val="28"/>
          <w:szCs w:val="28"/>
        </w:rPr>
        <w:t>DownsEd</w:t>
      </w:r>
      <w:proofErr w:type="spellEnd"/>
      <w:r>
        <w:rPr>
          <w:rFonts w:ascii="Calibri" w:hAnsi="Calibri"/>
          <w:sz w:val="28"/>
          <w:szCs w:val="28"/>
        </w:rPr>
        <w:t>)</w:t>
      </w:r>
    </w:p>
    <w:p w:rsidR="000C36B9" w:rsidRPr="00055421" w:rsidRDefault="000C36B9" w:rsidP="000C36B9">
      <w:pPr>
        <w:jc w:val="both"/>
        <w:rPr>
          <w:rFonts w:ascii="Calibri" w:hAnsi="Calibri" w:cs="Calibri"/>
          <w:i/>
          <w:sz w:val="28"/>
          <w:szCs w:val="28"/>
        </w:rPr>
      </w:pPr>
    </w:p>
    <w:p w:rsidR="000C36B9" w:rsidRDefault="000C36B9" w:rsidP="000C36B9">
      <w:pPr>
        <w:jc w:val="both"/>
        <w:rPr>
          <w:rFonts w:ascii="Calibri" w:hAnsi="Calibri" w:cs="Calibri"/>
          <w:sz w:val="28"/>
          <w:szCs w:val="28"/>
        </w:rPr>
      </w:pPr>
      <w:r w:rsidRPr="00ED433D">
        <w:rPr>
          <w:rFonts w:ascii="Calibri" w:hAnsi="Calibri" w:cs="Calibri"/>
          <w:sz w:val="28"/>
          <w:szCs w:val="28"/>
        </w:rPr>
        <w:t>Research has shown that, comparing like with like, teenagers with Down syndrome who have gone through mainstream schooling show better progress academically and socially than their corresponding peers educated in special schools</w:t>
      </w:r>
      <w:r>
        <w:rPr>
          <w:rFonts w:ascii="Calibri" w:hAnsi="Calibri" w:cs="Calibri"/>
          <w:sz w:val="28"/>
          <w:szCs w:val="28"/>
        </w:rPr>
        <w:t xml:space="preserve">*: they are more than two years ahead in their spoken language, more than three years ahead in reading and writing, and they show considerable gains in maths skills. They are also more included generally outside of school and display fewer behaviour problems. </w:t>
      </w:r>
      <w:r w:rsidRPr="00ED433D">
        <w:rPr>
          <w:rFonts w:ascii="Calibri" w:hAnsi="Calibri" w:cs="Calibri"/>
          <w:sz w:val="28"/>
          <w:szCs w:val="28"/>
        </w:rPr>
        <w:t xml:space="preserve">This is despite mainstream schools having </w:t>
      </w:r>
      <w:r>
        <w:rPr>
          <w:rFonts w:ascii="Calibri" w:hAnsi="Calibri" w:cs="Calibri"/>
          <w:sz w:val="28"/>
          <w:szCs w:val="28"/>
        </w:rPr>
        <w:t>larger class sizes and</w:t>
      </w:r>
      <w:r w:rsidRPr="00ED433D">
        <w:rPr>
          <w:rFonts w:ascii="Calibri" w:hAnsi="Calibri" w:cs="Calibri"/>
          <w:sz w:val="28"/>
          <w:szCs w:val="28"/>
        </w:rPr>
        <w:t xml:space="preserve"> “less specialised” teaching staff.</w:t>
      </w:r>
      <w:r>
        <w:rPr>
          <w:rFonts w:ascii="Calibri" w:hAnsi="Calibri" w:cs="Calibri"/>
          <w:sz w:val="28"/>
          <w:szCs w:val="28"/>
        </w:rPr>
        <w:t xml:space="preserve"> The answer lies, in our experience, in holding high expectations for academic achievement and for age appropriate behaviour. </w:t>
      </w:r>
    </w:p>
    <w:p w:rsidR="000C36B9" w:rsidRDefault="000C36B9" w:rsidP="000C36B9">
      <w:pPr>
        <w:jc w:val="both"/>
        <w:rPr>
          <w:rFonts w:ascii="Calibri" w:hAnsi="Calibri" w:cs="Calibri"/>
          <w:sz w:val="28"/>
          <w:szCs w:val="28"/>
        </w:rPr>
      </w:pPr>
    </w:p>
    <w:p w:rsidR="000C36B9" w:rsidRPr="003440FD" w:rsidRDefault="000C36B9" w:rsidP="000C36B9">
      <w:pPr>
        <w:jc w:val="both"/>
        <w:rPr>
          <w:rFonts w:ascii="Calibri" w:hAnsi="Calibri" w:cs="Calibri"/>
          <w:sz w:val="28"/>
          <w:szCs w:val="28"/>
        </w:rPr>
      </w:pPr>
      <w:r>
        <w:rPr>
          <w:rFonts w:ascii="Calibri" w:hAnsi="Calibri" w:cs="Calibri"/>
          <w:sz w:val="28"/>
          <w:szCs w:val="28"/>
        </w:rPr>
        <w:t xml:space="preserve">There are examples of successful special school placements, but what the students with Down syndrome get from attending mainstream classes is access to more challenging work and, most importantly, </w:t>
      </w:r>
      <w:proofErr w:type="gramStart"/>
      <w:r>
        <w:rPr>
          <w:rFonts w:ascii="Calibri" w:hAnsi="Calibri" w:cs="Calibri"/>
          <w:sz w:val="28"/>
          <w:szCs w:val="28"/>
        </w:rPr>
        <w:t>they</w:t>
      </w:r>
      <w:proofErr w:type="gramEnd"/>
      <w:r>
        <w:rPr>
          <w:rFonts w:ascii="Calibri" w:hAnsi="Calibri" w:cs="Calibri"/>
          <w:sz w:val="28"/>
          <w:szCs w:val="28"/>
        </w:rPr>
        <w:t xml:space="preserve"> witness and learn age appropriate behaviour and language from typically developing role models. They also have more opportunities to develop friendships in their local communities, alongside their peers and siblings. Teenagers and young adults </w:t>
      </w:r>
      <w:r>
        <w:rPr>
          <w:rFonts w:ascii="Calibri" w:hAnsi="Calibri" w:cs="Calibri"/>
          <w:sz w:val="28"/>
          <w:szCs w:val="28"/>
        </w:rPr>
        <w:lastRenderedPageBreak/>
        <w:t xml:space="preserve">with Down syndrome who have gone through mainstream schooling will meet people in their local community who know who they are and who may even have been at school with them. They do not get these experiences if they have been bussed across town or county to the special school there. </w:t>
      </w:r>
    </w:p>
    <w:p w:rsidR="000C36B9" w:rsidRDefault="000C36B9" w:rsidP="000C36B9">
      <w:pPr>
        <w:jc w:val="both"/>
        <w:rPr>
          <w:rFonts w:ascii="Calibri" w:hAnsi="Calibri" w:cs="Calibri"/>
          <w:sz w:val="16"/>
          <w:szCs w:val="16"/>
        </w:rPr>
      </w:pPr>
    </w:p>
    <w:p w:rsidR="000C36B9" w:rsidRDefault="000C36B9" w:rsidP="000C36B9">
      <w:pPr>
        <w:jc w:val="both"/>
        <w:rPr>
          <w:rFonts w:ascii="Calibri" w:hAnsi="Calibri" w:cs="Calibri"/>
          <w:sz w:val="16"/>
          <w:szCs w:val="16"/>
        </w:rPr>
      </w:pPr>
    </w:p>
    <w:p w:rsidR="000C36B9" w:rsidRDefault="000C36B9" w:rsidP="000C36B9">
      <w:pPr>
        <w:jc w:val="both"/>
        <w:rPr>
          <w:rFonts w:ascii="Calibri" w:hAnsi="Calibri" w:cs="Calibri"/>
          <w:sz w:val="16"/>
          <w:szCs w:val="16"/>
        </w:rPr>
      </w:pPr>
      <w:r>
        <w:rPr>
          <w:rFonts w:ascii="Calibri" w:hAnsi="Calibri" w:cs="Calibri"/>
          <w:sz w:val="16"/>
          <w:szCs w:val="16"/>
        </w:rPr>
        <w:t>*Prof Sue Buckley, Down Syndrome Education Conference 2009</w:t>
      </w:r>
    </w:p>
    <w:p w:rsidR="000C36B9" w:rsidRDefault="000C36B9" w:rsidP="000C36B9">
      <w:pPr>
        <w:jc w:val="both"/>
        <w:rPr>
          <w:rFonts w:ascii="Calibri" w:hAnsi="Calibri" w:cs="Calibri"/>
          <w:sz w:val="16"/>
          <w:szCs w:val="16"/>
        </w:rPr>
      </w:pPr>
    </w:p>
    <w:p w:rsidR="000C36B9" w:rsidRDefault="000C36B9" w:rsidP="000C36B9">
      <w:pPr>
        <w:jc w:val="both"/>
        <w:rPr>
          <w:rFonts w:ascii="Calibri" w:hAnsi="Calibri" w:cs="Calibri"/>
          <w:sz w:val="16"/>
          <w:szCs w:val="16"/>
        </w:rPr>
      </w:pPr>
      <w:r>
        <w:rPr>
          <w:rFonts w:ascii="Calibri" w:hAnsi="Calibri" w:cs="Calibri"/>
          <w:sz w:val="16"/>
          <w:szCs w:val="16"/>
        </w:rPr>
        <w:t>Main findings of the study:</w:t>
      </w:r>
    </w:p>
    <w:p w:rsidR="000C36B9" w:rsidRDefault="000C36B9" w:rsidP="000C36B9">
      <w:pPr>
        <w:jc w:val="both"/>
        <w:rPr>
          <w:rFonts w:ascii="Calibri" w:hAnsi="Calibri" w:cs="Calibri"/>
          <w:sz w:val="16"/>
          <w:szCs w:val="16"/>
        </w:rPr>
      </w:pPr>
    </w:p>
    <w:p w:rsidR="000C36B9" w:rsidRDefault="000C36B9" w:rsidP="000C36B9">
      <w:pPr>
        <w:numPr>
          <w:ilvl w:val="0"/>
          <w:numId w:val="2"/>
        </w:numPr>
        <w:jc w:val="both"/>
        <w:rPr>
          <w:rFonts w:ascii="Calibri" w:hAnsi="Calibri" w:cs="Calibri"/>
          <w:sz w:val="16"/>
          <w:szCs w:val="16"/>
        </w:rPr>
      </w:pPr>
      <w:r>
        <w:rPr>
          <w:rFonts w:ascii="Calibri" w:hAnsi="Calibri" w:cs="Calibri"/>
          <w:sz w:val="16"/>
          <w:szCs w:val="16"/>
        </w:rPr>
        <w:t xml:space="preserve">No progress from 1988-2000 for special class outcomes </w:t>
      </w:r>
    </w:p>
    <w:p w:rsidR="000C36B9" w:rsidRDefault="000C36B9" w:rsidP="000C36B9">
      <w:pPr>
        <w:numPr>
          <w:ilvl w:val="0"/>
          <w:numId w:val="2"/>
        </w:numPr>
        <w:jc w:val="both"/>
        <w:rPr>
          <w:rFonts w:ascii="Calibri" w:hAnsi="Calibri" w:cs="Calibri"/>
          <w:sz w:val="16"/>
          <w:szCs w:val="16"/>
        </w:rPr>
      </w:pPr>
      <w:r>
        <w:rPr>
          <w:rFonts w:ascii="Calibri" w:hAnsi="Calibri" w:cs="Calibri"/>
          <w:sz w:val="16"/>
          <w:szCs w:val="16"/>
        </w:rPr>
        <w:t>Significant and specific educational benefits for inclusion</w:t>
      </w:r>
    </w:p>
    <w:p w:rsidR="000C36B9" w:rsidRDefault="000C36B9" w:rsidP="000C36B9">
      <w:pPr>
        <w:numPr>
          <w:ilvl w:val="0"/>
          <w:numId w:val="2"/>
        </w:numPr>
        <w:jc w:val="both"/>
        <w:rPr>
          <w:rFonts w:ascii="Calibri" w:hAnsi="Calibri" w:cs="Calibri"/>
          <w:sz w:val="16"/>
          <w:szCs w:val="16"/>
        </w:rPr>
      </w:pPr>
      <w:r>
        <w:rPr>
          <w:rFonts w:ascii="Calibri" w:hAnsi="Calibri" w:cs="Calibri"/>
          <w:sz w:val="16"/>
          <w:szCs w:val="16"/>
        </w:rPr>
        <w:t>Teenagers fully included in mainstream classes:</w:t>
      </w:r>
    </w:p>
    <w:p w:rsidR="000C36B9" w:rsidRDefault="000C36B9" w:rsidP="000C36B9">
      <w:pPr>
        <w:numPr>
          <w:ilvl w:val="0"/>
          <w:numId w:val="3"/>
        </w:numPr>
        <w:jc w:val="both"/>
        <w:rPr>
          <w:rFonts w:ascii="Calibri" w:hAnsi="Calibri" w:cs="Calibri"/>
          <w:sz w:val="16"/>
          <w:szCs w:val="16"/>
        </w:rPr>
      </w:pPr>
      <w:r>
        <w:rPr>
          <w:rFonts w:ascii="Calibri" w:hAnsi="Calibri" w:cs="Calibri"/>
          <w:sz w:val="16"/>
          <w:szCs w:val="16"/>
        </w:rPr>
        <w:t>Showed gains of more than 2 years in spoken language skills and 3 years in reading and writing</w:t>
      </w:r>
    </w:p>
    <w:p w:rsidR="000C36B9" w:rsidRDefault="000C36B9" w:rsidP="000C36B9">
      <w:pPr>
        <w:numPr>
          <w:ilvl w:val="0"/>
          <w:numId w:val="3"/>
        </w:numPr>
        <w:jc w:val="both"/>
        <w:rPr>
          <w:rFonts w:ascii="Calibri" w:hAnsi="Calibri" w:cs="Calibri"/>
          <w:sz w:val="16"/>
          <w:szCs w:val="16"/>
        </w:rPr>
      </w:pPr>
      <w:r>
        <w:rPr>
          <w:rFonts w:ascii="Calibri" w:hAnsi="Calibri" w:cs="Calibri"/>
          <w:sz w:val="16"/>
          <w:szCs w:val="16"/>
        </w:rPr>
        <w:t>Showed gains in maths, general knowledge and in social independence</w:t>
      </w:r>
    </w:p>
    <w:p w:rsidR="000C36B9" w:rsidRDefault="000C36B9" w:rsidP="000C36B9">
      <w:pPr>
        <w:numPr>
          <w:ilvl w:val="0"/>
          <w:numId w:val="3"/>
        </w:numPr>
        <w:jc w:val="both"/>
        <w:rPr>
          <w:rFonts w:ascii="Calibri" w:hAnsi="Calibri" w:cs="Calibri"/>
          <w:sz w:val="16"/>
          <w:szCs w:val="16"/>
        </w:rPr>
      </w:pPr>
      <w:r>
        <w:rPr>
          <w:rFonts w:ascii="Calibri" w:hAnsi="Calibri" w:cs="Calibri"/>
          <w:sz w:val="16"/>
          <w:szCs w:val="16"/>
        </w:rPr>
        <w:t>Showed no differences in personal independence or social contacts out of school</w:t>
      </w:r>
    </w:p>
    <w:p w:rsidR="000C36B9" w:rsidRDefault="000C36B9" w:rsidP="000C36B9">
      <w:pPr>
        <w:numPr>
          <w:ilvl w:val="0"/>
          <w:numId w:val="3"/>
        </w:numPr>
        <w:jc w:val="both"/>
        <w:rPr>
          <w:rFonts w:ascii="Calibri" w:hAnsi="Calibri" w:cs="Calibri"/>
          <w:sz w:val="16"/>
          <w:szCs w:val="16"/>
        </w:rPr>
      </w:pPr>
      <w:r>
        <w:rPr>
          <w:rFonts w:ascii="Calibri" w:hAnsi="Calibri" w:cs="Calibri"/>
          <w:sz w:val="16"/>
          <w:szCs w:val="16"/>
        </w:rPr>
        <w:t>Tended to have better behaviour.</w:t>
      </w:r>
    </w:p>
    <w:p w:rsidR="000C36B9" w:rsidRDefault="000C36B9" w:rsidP="000C36B9">
      <w:pPr>
        <w:jc w:val="both"/>
        <w:rPr>
          <w:rFonts w:ascii="Calibri" w:hAnsi="Calibri" w:cs="Calibri"/>
          <w:sz w:val="16"/>
          <w:szCs w:val="16"/>
        </w:rPr>
      </w:pPr>
    </w:p>
    <w:p w:rsidR="000C36B9" w:rsidRPr="0002705D" w:rsidRDefault="000C36B9" w:rsidP="000C36B9">
      <w:pPr>
        <w:jc w:val="both"/>
        <w:rPr>
          <w:rFonts w:ascii="Calibri" w:hAnsi="Calibri" w:cs="Calibri"/>
          <w:sz w:val="16"/>
          <w:szCs w:val="16"/>
        </w:rPr>
      </w:pPr>
      <w:r>
        <w:rPr>
          <w:rFonts w:ascii="Calibri" w:hAnsi="Calibri" w:cs="Calibri"/>
          <w:sz w:val="16"/>
          <w:szCs w:val="16"/>
        </w:rPr>
        <w:t>See Appendices for graphs and data.</w:t>
      </w:r>
    </w:p>
    <w:p w:rsidR="000C36B9" w:rsidRPr="00ED306E" w:rsidRDefault="000C36B9" w:rsidP="000C36B9">
      <w:pPr>
        <w:jc w:val="both"/>
        <w:rPr>
          <w:rFonts w:ascii="Calibri" w:hAnsi="Calibri" w:cs="Calibri"/>
          <w:sz w:val="16"/>
          <w:szCs w:val="16"/>
        </w:rPr>
      </w:pPr>
      <w:r>
        <w:rPr>
          <w:rFonts w:ascii="Calibri" w:hAnsi="Calibri" w:cs="Calibri"/>
          <w:sz w:val="16"/>
          <w:szCs w:val="16"/>
        </w:rPr>
        <w:t xml:space="preserve"> </w:t>
      </w:r>
    </w:p>
    <w:p w:rsidR="000C36B9" w:rsidRPr="00A85174" w:rsidRDefault="000C36B9" w:rsidP="000C36B9">
      <w:pPr>
        <w:jc w:val="both"/>
        <w:rPr>
          <w:rFonts w:ascii="Calibri" w:hAnsi="Calibri" w:cs="Calibri"/>
          <w:sz w:val="28"/>
          <w:szCs w:val="28"/>
        </w:rPr>
      </w:pPr>
    </w:p>
    <w:p w:rsidR="000C36B9" w:rsidRDefault="000C36B9" w:rsidP="000C36B9">
      <w:pPr>
        <w:jc w:val="both"/>
      </w:pPr>
      <w:r>
        <w:rPr>
          <w:noProof/>
          <w:lang w:eastAsia="en-GB"/>
        </w:rPr>
        <w:drawing>
          <wp:anchor distT="0" distB="0" distL="114300" distR="114300" simplePos="0" relativeHeight="251661312" behindDoc="1" locked="0" layoutInCell="1" allowOverlap="1">
            <wp:simplePos x="0" y="0"/>
            <wp:positionH relativeFrom="column">
              <wp:posOffset>2757170</wp:posOffset>
            </wp:positionH>
            <wp:positionV relativeFrom="paragraph">
              <wp:posOffset>6350</wp:posOffset>
            </wp:positionV>
            <wp:extent cx="2600325" cy="1733550"/>
            <wp:effectExtent l="0" t="0" r="9525" b="0"/>
            <wp:wrapTight wrapText="bothSides">
              <wp:wrapPolygon edited="0">
                <wp:start x="0" y="0"/>
                <wp:lineTo x="0" y="21363"/>
                <wp:lineTo x="21521" y="21363"/>
                <wp:lineTo x="21521" y="0"/>
                <wp:lineTo x="0" y="0"/>
              </wp:wrapPolygon>
            </wp:wrapTight>
            <wp:docPr id="5" name="Picture 5" descr="IMG_7733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733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simplePos x="0" y="0"/>
            <wp:positionH relativeFrom="column">
              <wp:posOffset>-193040</wp:posOffset>
            </wp:positionH>
            <wp:positionV relativeFrom="paragraph">
              <wp:posOffset>6350</wp:posOffset>
            </wp:positionV>
            <wp:extent cx="2559685" cy="1705610"/>
            <wp:effectExtent l="0" t="0" r="0" b="8890"/>
            <wp:wrapTight wrapText="bothSides">
              <wp:wrapPolygon edited="0">
                <wp:start x="0" y="0"/>
                <wp:lineTo x="0" y="21471"/>
                <wp:lineTo x="21380" y="21471"/>
                <wp:lineTo x="21380" y="0"/>
                <wp:lineTo x="0" y="0"/>
              </wp:wrapPolygon>
            </wp:wrapTight>
            <wp:docPr id="4" name="Picture 4" descr="IMG_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66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85"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6B9" w:rsidRPr="00C7029B" w:rsidRDefault="000C36B9" w:rsidP="000C36B9">
      <w:pPr>
        <w:jc w:val="both"/>
      </w:pPr>
    </w:p>
    <w:p w:rsidR="000C36B9" w:rsidRPr="00C7029B" w:rsidRDefault="000C36B9" w:rsidP="000C36B9">
      <w:pPr>
        <w:jc w:val="both"/>
      </w:pPr>
    </w:p>
    <w:p w:rsidR="000C36B9" w:rsidRPr="00C7029B" w:rsidRDefault="000C36B9" w:rsidP="000C36B9">
      <w:pPr>
        <w:jc w:val="both"/>
      </w:pPr>
    </w:p>
    <w:p w:rsidR="000C36B9" w:rsidRPr="00C7029B" w:rsidRDefault="000C36B9" w:rsidP="000C36B9">
      <w:pPr>
        <w:jc w:val="both"/>
      </w:pPr>
    </w:p>
    <w:p w:rsidR="000C36B9" w:rsidRPr="00C7029B" w:rsidRDefault="000C36B9" w:rsidP="000C36B9">
      <w:pPr>
        <w:jc w:val="both"/>
      </w:pPr>
    </w:p>
    <w:p w:rsidR="000C36B9" w:rsidRPr="00C7029B" w:rsidRDefault="000C36B9" w:rsidP="000C36B9">
      <w:pPr>
        <w:jc w:val="both"/>
      </w:pPr>
    </w:p>
    <w:p w:rsidR="000C36B9" w:rsidRPr="00C7029B" w:rsidRDefault="000C36B9" w:rsidP="000C36B9">
      <w:pPr>
        <w:jc w:val="both"/>
      </w:pPr>
    </w:p>
    <w:p w:rsidR="000C36B9" w:rsidRPr="00C7029B" w:rsidRDefault="000C36B9" w:rsidP="000C36B9">
      <w:pPr>
        <w:jc w:val="both"/>
      </w:pPr>
    </w:p>
    <w:p w:rsidR="000C36B9" w:rsidRDefault="000C36B9" w:rsidP="000C36B9">
      <w:pPr>
        <w:jc w:val="both"/>
      </w:pPr>
    </w:p>
    <w:p w:rsidR="000C36B9" w:rsidRDefault="000C36B9" w:rsidP="000C36B9">
      <w:pPr>
        <w:jc w:val="both"/>
      </w:pPr>
      <w:r>
        <w:rPr>
          <w:noProof/>
          <w:lang w:eastAsia="en-GB"/>
        </w:rPr>
        <w:drawing>
          <wp:anchor distT="0" distB="0" distL="114300" distR="114300" simplePos="0" relativeHeight="251663360" behindDoc="1" locked="0" layoutInCell="1" allowOverlap="1">
            <wp:simplePos x="0" y="0"/>
            <wp:positionH relativeFrom="column">
              <wp:posOffset>2795270</wp:posOffset>
            </wp:positionH>
            <wp:positionV relativeFrom="paragraph">
              <wp:posOffset>241935</wp:posOffset>
            </wp:positionV>
            <wp:extent cx="2586355" cy="1724025"/>
            <wp:effectExtent l="0" t="0" r="4445" b="9525"/>
            <wp:wrapTight wrapText="bothSides">
              <wp:wrapPolygon edited="0">
                <wp:start x="0" y="0"/>
                <wp:lineTo x="0" y="21481"/>
                <wp:lineTo x="21478" y="21481"/>
                <wp:lineTo x="21478" y="0"/>
                <wp:lineTo x="0" y="0"/>
              </wp:wrapPolygon>
            </wp:wrapTight>
            <wp:docPr id="3" name="Picture 3" descr="IMG_6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68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635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simplePos x="0" y="0"/>
            <wp:positionH relativeFrom="column">
              <wp:posOffset>-193040</wp:posOffset>
            </wp:positionH>
            <wp:positionV relativeFrom="paragraph">
              <wp:posOffset>240665</wp:posOffset>
            </wp:positionV>
            <wp:extent cx="2559685" cy="1706245"/>
            <wp:effectExtent l="0" t="0" r="0" b="8255"/>
            <wp:wrapTight wrapText="bothSides">
              <wp:wrapPolygon edited="0">
                <wp:start x="0" y="0"/>
                <wp:lineTo x="0" y="21463"/>
                <wp:lineTo x="21380" y="21463"/>
                <wp:lineTo x="21380" y="0"/>
                <wp:lineTo x="0" y="0"/>
              </wp:wrapPolygon>
            </wp:wrapTight>
            <wp:docPr id="2" name="Picture 2" descr="IMG_7106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7106 cr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968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-193040</wp:posOffset>
            </wp:positionH>
            <wp:positionV relativeFrom="paragraph">
              <wp:posOffset>2270760</wp:posOffset>
            </wp:positionV>
            <wp:extent cx="5600700" cy="1365885"/>
            <wp:effectExtent l="0" t="0" r="0" b="5715"/>
            <wp:wrapTight wrapText="bothSides">
              <wp:wrapPolygon edited="0">
                <wp:start x="0" y="0"/>
                <wp:lineTo x="0" y="21389"/>
                <wp:lineTo x="21527" y="21389"/>
                <wp:lineTo x="21527" y="0"/>
                <wp:lineTo x="0" y="0"/>
              </wp:wrapPolygon>
            </wp:wrapTight>
            <wp:docPr id="1" name="Picture 1" descr="IMG_7833 crop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833 crop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700"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6B9" w:rsidRDefault="000C36B9" w:rsidP="000C36B9">
      <w:pPr>
        <w:jc w:val="both"/>
      </w:pPr>
    </w:p>
    <w:p w:rsidR="000C36B9" w:rsidRPr="00C7029B" w:rsidRDefault="000C36B9" w:rsidP="000C36B9">
      <w:pPr>
        <w:jc w:val="both"/>
      </w:pPr>
    </w:p>
    <w:p w:rsidR="0048730E" w:rsidRDefault="0048730E">
      <w:bookmarkStart w:id="0" w:name="_GoBack"/>
      <w:bookmarkEnd w:id="0"/>
    </w:p>
    <w:sectPr w:rsidR="00487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434"/>
    <w:multiLevelType w:val="hybridMultilevel"/>
    <w:tmpl w:val="3F2C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4242B"/>
    <w:multiLevelType w:val="hybridMultilevel"/>
    <w:tmpl w:val="652A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91374B"/>
    <w:multiLevelType w:val="hybridMultilevel"/>
    <w:tmpl w:val="F320AA6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B9"/>
    <w:rsid w:val="000C36B9"/>
    <w:rsid w:val="0048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2011-07-28T13:33:00Z</dcterms:created>
  <dcterms:modified xsi:type="dcterms:W3CDTF">2011-07-28T13:33:00Z</dcterms:modified>
</cp:coreProperties>
</file>